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right"/>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Arial" w:hAnsi="Arial" w:eastAsia="Arial" w:cs="Arial"/>
          <w:b/>
          <w:color w:val="000000"/>
          <w:szCs w:val="24"/>
          <w:lang w:val="es-es"/>
        </w:rPr>
      </w:pPr>
      <w:r>
        <w:rPr>
          <w:rFonts w:ascii="Arial" w:hAnsi="Arial" w:eastAsia="Arial" w:cs="Arial"/>
          <w:b/>
          <w:color w:val="000000"/>
          <w:szCs w:val="24"/>
          <w:lang w:val="es-es"/>
        </w:rPr>
        <w:t>ORDENANZA N° 747/24</w:t>
      </w:r>
    </w:p>
    <w:p>
      <w:pPr>
        <w:spacing w:line="360" w:lineRule="auto"/>
        <w:jc w:val="right"/>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Arial" w:hAnsi="Arial" w:eastAsia="Arial" w:cs="Arial"/>
          <w:color w:val="000000"/>
          <w:szCs w:val="24"/>
          <w:lang w:val="es-es"/>
        </w:rPr>
      </w:pPr>
      <w:r>
        <w:rPr>
          <w:rFonts w:ascii="Arial" w:hAnsi="Arial" w:eastAsia="Arial" w:cs="Arial"/>
          <w:color w:val="000000"/>
          <w:szCs w:val="24"/>
          <w:lang w:val="es-es"/>
        </w:rPr>
        <w:t xml:space="preserve">Acebal, 13 de Noviembre de 2024 </w:t>
      </w:r>
    </w:p>
    <w:p>
      <w:pPr>
        <w:spacing w:line="276" w:lineRule="auto"/>
        <w:jc w:val="both"/>
        <w:widowControl w:val="0"/>
        <w:rPr>
          <w:rFonts w:ascii="Calibri" w:hAnsi="Calibri"/>
          <w:b/>
          <w:bCs/>
          <w:color w:val="262626"/>
          <w:szCs w:val="24"/>
          <w:u w:color="auto" w:val="single"/>
        </w:rPr>
      </w:pPr>
      <w:r>
        <w:rPr>
          <w:rFonts w:ascii="Calibri" w:hAnsi="Calibri"/>
          <w:b/>
          <w:bCs/>
          <w:color w:val="262626"/>
          <w:szCs w:val="24"/>
          <w:u w:color="auto" w:val="single"/>
        </w:rPr>
      </w:r>
    </w:p>
    <w:p>
      <w:pPr>
        <w:ind w:firstLine="709"/>
        <w:spacing w:line="276" w:lineRule="auto"/>
        <w:jc w:val="both"/>
        <w:widowControl w:val="0"/>
        <w:rPr>
          <w:rFonts w:ascii="Calibri" w:hAnsi="Calibri"/>
          <w:b/>
          <w:bCs/>
          <w:color w:val="262626"/>
          <w:szCs w:val="24"/>
          <w:u w:color="auto" w:val="single"/>
        </w:rPr>
      </w:pPr>
      <w:r>
        <w:rPr>
          <w:rFonts w:ascii="Calibri" w:hAnsi="Calibri"/>
          <w:b/>
          <w:bCs/>
          <w:color w:val="262626"/>
          <w:szCs w:val="24"/>
          <w:u w:color="auto" w:val="single"/>
        </w:rPr>
        <w:t>VISTO:</w:t>
      </w:r>
    </w:p>
    <w:p>
      <w:pPr>
        <w:ind w:firstLine="709"/>
        <w:spacing w:line="276" w:lineRule="auto"/>
        <w:jc w:val="both"/>
        <w:widowControl w:val="0"/>
        <w:rPr>
          <w:rFonts w:ascii="Calibri" w:hAnsi="Calibri"/>
          <w:bCs/>
          <w:color w:val="262626"/>
          <w:szCs w:val="24"/>
        </w:rPr>
      </w:pPr>
      <w:r>
        <w:rPr>
          <w:rFonts w:ascii="Calibri" w:hAnsi="Calibri"/>
          <w:bCs/>
          <w:color w:val="262626"/>
          <w:szCs w:val="24"/>
        </w:rPr>
        <w:t>Los montos vigentes para la “</w:t>
      </w:r>
      <w:r>
        <w:rPr>
          <w:rFonts w:ascii="Calibri" w:hAnsi="Calibri"/>
          <w:color w:val="262626"/>
          <w:szCs w:val="24"/>
        </w:rPr>
        <w:t>TASA POR HABILITACIÓN Y ESTUDIO DE FACTIBILIDAD DE UBICACIÓN” y la “TASA POR INSPECCIÓN DE ESTRUCTURAS PORTANTES E INFRAESTRUCTURAS RELACIONADAS”</w:t>
      </w:r>
      <w:r>
        <w:rPr>
          <w:rFonts w:ascii="Calibri" w:hAnsi="Calibri"/>
          <w:bCs/>
          <w:color w:val="262626"/>
          <w:szCs w:val="24"/>
        </w:rPr>
        <w:t>;</w:t>
      </w:r>
      <w:r>
        <w:rPr>
          <w:rFonts w:ascii="Calibri" w:hAnsi="Calibri"/>
          <w:bCs/>
          <w:color w:val="262626"/>
          <w:szCs w:val="24"/>
        </w:rPr>
        <w:t xml:space="preserve"> y</w:t>
      </w:r>
      <w:r>
        <w:rPr>
          <w:rFonts w:ascii="Calibri" w:hAnsi="Calibri"/>
          <w:bCs/>
          <w:color w:val="262626"/>
          <w:szCs w:val="24"/>
        </w:rPr>
      </w:r>
    </w:p>
    <w:p>
      <w:pPr>
        <w:ind w:firstLine="709"/>
        <w:spacing w:line="276" w:lineRule="auto"/>
        <w:jc w:val="both"/>
        <w:widowControl w:val="0"/>
        <w:rPr>
          <w:rFonts w:ascii="Calibri" w:hAnsi="Calibri"/>
          <w:b/>
          <w:bCs/>
          <w:color w:val="262626"/>
          <w:szCs w:val="24"/>
          <w:u w:color="auto" w:val="single"/>
        </w:rPr>
      </w:pPr>
      <w:r>
        <w:rPr>
          <w:rFonts w:ascii="Calibri" w:hAnsi="Calibri"/>
          <w:b/>
          <w:bCs/>
          <w:color w:val="262626"/>
          <w:szCs w:val="24"/>
          <w:u w:color="auto" w:val="single"/>
        </w:rPr>
      </w:r>
    </w:p>
    <w:p>
      <w:pPr>
        <w:ind w:firstLine="709"/>
        <w:spacing w:line="276" w:lineRule="auto"/>
        <w:jc w:val="both"/>
        <w:widowControl w:val="0"/>
        <w:rPr>
          <w:rFonts w:ascii="Calibri" w:hAnsi="Calibri"/>
          <w:b/>
          <w:bCs/>
          <w:color w:val="262626"/>
          <w:szCs w:val="24"/>
          <w:u w:color="auto" w:val="single"/>
        </w:rPr>
      </w:pPr>
      <w:r>
        <w:rPr>
          <w:rFonts w:ascii="Calibri" w:hAnsi="Calibri"/>
          <w:b/>
          <w:bCs/>
          <w:color w:val="262626"/>
          <w:szCs w:val="24"/>
          <w:u w:color="auto" w:val="single"/>
        </w:rPr>
        <w:t>CONSIDERANDO:</w:t>
      </w:r>
    </w:p>
    <w:p>
      <w:pPr>
        <w:ind w:firstLine="709"/>
        <w:spacing w:line="276" w:lineRule="auto"/>
        <w:jc w:val="both"/>
        <w:widowControl w:val="0"/>
        <w:rPr>
          <w:rFonts w:ascii="Calibri" w:hAnsi="Calibri"/>
          <w:bCs/>
          <w:color w:val="262626"/>
          <w:szCs w:val="24"/>
        </w:rPr>
      </w:pPr>
      <w:r>
        <w:rPr>
          <w:rFonts w:ascii="Calibri" w:hAnsi="Calibri"/>
          <w:bCs/>
          <w:color w:val="262626"/>
          <w:szCs w:val="24"/>
        </w:rPr>
        <w:t>Que los montos de las tasas referidas han quedado desactualizados. -</w:t>
      </w:r>
    </w:p>
    <w:p>
      <w:pPr>
        <w:ind w:firstLine="709"/>
        <w:spacing w:line="276" w:lineRule="auto"/>
        <w:jc w:val="both"/>
        <w:widowControl w:val="0"/>
        <w:rPr>
          <w:rFonts w:ascii="Calibri" w:hAnsi="Calibri"/>
          <w:bCs/>
          <w:color w:val="262626"/>
          <w:szCs w:val="24"/>
        </w:rPr>
      </w:pPr>
      <w:r>
        <w:rPr>
          <w:rFonts w:ascii="Calibri" w:hAnsi="Calibri"/>
          <w:bCs/>
          <w:color w:val="262626"/>
          <w:szCs w:val="24"/>
        </w:rPr>
        <w:t>Que resulta necesario actualizar dichos montos, para permitir la adecuada prestación de los servicios comprometidos en el hecho imponible de las tasas en cuestión. -</w:t>
      </w:r>
    </w:p>
    <w:p>
      <w:pPr>
        <w:ind w:firstLine="709"/>
        <w:spacing w:line="276" w:lineRule="auto"/>
        <w:jc w:val="both"/>
        <w:widowControl w:val="0"/>
        <w:rPr>
          <w:rFonts w:ascii="Calibri" w:hAnsi="Calibri"/>
          <w:bCs/>
          <w:color w:val="262626"/>
          <w:szCs w:val="24"/>
        </w:rPr>
      </w:pPr>
      <w:r>
        <w:rPr>
          <w:rFonts w:ascii="Calibri" w:hAnsi="Calibri"/>
          <w:bCs/>
          <w:color w:val="262626"/>
          <w:szCs w:val="24"/>
        </w:rPr>
      </w:r>
    </w:p>
    <w:p>
      <w:pPr>
        <w:ind w:firstLine="709"/>
        <w:spacing w:line="276" w:lineRule="auto"/>
        <w:jc w:val="both"/>
        <w:widowControl w:val="0"/>
        <w:rPr>
          <w:rFonts w:ascii="Calibri" w:hAnsi="Calibri"/>
          <w:b/>
          <w:bCs/>
          <w:color w:val="262626"/>
          <w:szCs w:val="24"/>
        </w:rPr>
      </w:pPr>
      <w:r>
        <w:rPr>
          <w:rFonts w:ascii="Calibri" w:hAnsi="Calibri"/>
          <w:b/>
          <w:bCs/>
          <w:color w:val="262626"/>
          <w:szCs w:val="24"/>
        </w:rPr>
        <w:t>Por ello la Comisión Comunal sanciona la siguiente Ordenanza N°747/24</w:t>
      </w:r>
    </w:p>
    <w:p>
      <w:pPr>
        <w:spacing w:line="276" w:lineRule="auto"/>
        <w:jc w:val="both"/>
        <w:widowControl w:val="0"/>
        <w:rPr>
          <w:rFonts w:ascii="Calibri" w:hAnsi="Calibri"/>
          <w:b/>
          <w:color w:val="262626"/>
          <w:szCs w:val="24"/>
        </w:rPr>
      </w:pPr>
      <w:r>
        <w:rPr>
          <w:rFonts w:ascii="Calibri" w:hAnsi="Calibri"/>
          <w:b/>
          <w:color w:val="262626"/>
          <w:szCs w:val="24"/>
        </w:rPr>
      </w:r>
    </w:p>
    <w:p>
      <w:pPr>
        <w:spacing w:line="276" w:lineRule="auto"/>
        <w:jc w:val="both"/>
        <w:widowControl w:val="0"/>
        <w:rPr>
          <w:rFonts w:ascii="Calibri" w:hAnsi="Calibri"/>
          <w:b/>
          <w:color w:val="262626"/>
          <w:szCs w:val="24"/>
        </w:rPr>
      </w:pPr>
      <w:r>
        <w:rPr>
          <w:rFonts w:ascii="Calibri" w:hAnsi="Calibri"/>
          <w:b/>
          <w:color w:val="262626"/>
          <w:szCs w:val="24"/>
        </w:rPr>
        <w:t xml:space="preserve">              </w:t>
      </w:r>
      <w:r>
        <w:rPr>
          <w:rFonts w:ascii="Calibri" w:hAnsi="Calibri"/>
          <w:b/>
          <w:bCs/>
          <w:color w:val="262626"/>
          <w:szCs w:val="24"/>
          <w:u w:color="auto" w:val="single"/>
        </w:rPr>
        <w:t>Artículo 1°:</w:t>
      </w:r>
      <w:r>
        <w:rPr>
          <w:rFonts w:ascii="Calibri" w:hAnsi="Calibri"/>
          <w:b/>
          <w:color w:val="262626"/>
          <w:szCs w:val="24"/>
        </w:rPr>
        <w:t xml:space="preserve"> </w:t>
      </w:r>
    </w:p>
    <w:p>
      <w:pPr>
        <w:ind w:firstLine="709"/>
        <w:spacing w:line="276" w:lineRule="auto"/>
        <w:jc w:val="both"/>
        <w:widowControl w:val="0"/>
        <w:rPr>
          <w:rFonts w:ascii="Calibri" w:hAnsi="Calibri" w:cs="Calibri"/>
          <w:color w:val="000000"/>
          <w:szCs w:val="24"/>
          <w:lang w:eastAsia="es-es"/>
        </w:rPr>
      </w:pPr>
      <w:r>
        <w:rPr>
          <w:rFonts w:ascii="Calibri" w:hAnsi="Calibri"/>
          <w:b/>
          <w:bCs/>
          <w:color w:val="262626"/>
          <w:szCs w:val="24"/>
        </w:rPr>
        <w:t>a) MONTOS DE LAS TASAS SOBRE ESTRUCTURAS PORTANTES DE ANTENAS:</w:t>
      </w:r>
      <w:r>
        <w:rPr>
          <w:rFonts w:ascii="Calibri" w:hAnsi="Calibri" w:cs="Calibri"/>
          <w:bCs/>
          <w:color w:val="000000"/>
          <w:szCs w:val="24"/>
          <w:lang w:eastAsia="es-es"/>
        </w:rPr>
        <w:t xml:space="preserve">Fíjense las siguientes tasas que deberán abonar los titulares de las estructuras portantes </w:t>
      </w:r>
      <w:r>
        <w:rPr>
          <w:rFonts w:ascii="Calibri" w:hAnsi="Calibri" w:cs="Calibri"/>
          <w:color w:val="000000"/>
          <w:szCs w:val="24"/>
          <w:lang w:eastAsia="es-es"/>
        </w:rPr>
        <w:t>de cualquier tipología y altura</w:t>
      </w:r>
      <w:r>
        <w:rPr>
          <w:rFonts w:ascii="Calibri" w:hAnsi="Calibri" w:cs="Calibri"/>
          <w:color w:val="000000"/>
          <w:szCs w:val="24"/>
          <w:lang w:eastAsia="es-es"/>
        </w:rPr>
        <w:t>:</w:t>
      </w:r>
    </w:p>
    <w:p>
      <w:pPr>
        <w:ind w:firstLine="709"/>
        <w:spacing/>
        <w:jc w:val="both"/>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Calibri" w:hAnsi="Calibri" w:cs="Calibri"/>
          <w:bCs/>
          <w:color w:val="000000"/>
          <w:szCs w:val="24"/>
          <w:lang w:eastAsia="es-es"/>
        </w:rPr>
      </w:pPr>
      <w:r>
        <w:rPr>
          <w:rFonts w:ascii="Calibri" w:hAnsi="Calibri" w:cs="Calibri"/>
          <w:b/>
          <w:color w:val="000000"/>
          <w:szCs w:val="24"/>
          <w:lang w:eastAsia="es-es"/>
        </w:rPr>
        <w:t xml:space="preserve">a.1) TASA POR HABILITACIÓN Y ESTUDIO DE FACTIBILIDAD DE UBICACIÓN (THE): </w:t>
      </w:r>
      <w:r>
        <w:rPr>
          <w:rFonts w:ascii="Calibri" w:hAnsi="Calibri" w:cs="Calibri"/>
          <w:bCs/>
          <w:color w:val="000000"/>
          <w:szCs w:val="24"/>
          <w:lang w:eastAsia="es-es"/>
        </w:rPr>
        <w:t xml:space="preserve">Al momento de solicitar el permiso de construcción de nuevas estructuras de soporte, o de solicitar la habilitación de estructuras de soporte preexistentes, los solicitantes deberán abonar por única vez la suma de </w:t>
      </w:r>
      <w:r>
        <w:rPr>
          <w:rFonts w:ascii="Calibri" w:hAnsi="Calibri" w:cs="Calibri"/>
          <w:b/>
          <w:bCs/>
          <w:color w:val="000000"/>
          <w:szCs w:val="24"/>
          <w:lang w:eastAsia="es-es"/>
        </w:rPr>
        <w:t>PESOS SETECIENTOS CUARENTA MIL ($740.000)</w:t>
      </w:r>
      <w:r>
        <w:rPr>
          <w:rFonts w:ascii="Calibri" w:hAnsi="Calibri" w:cs="Calibri"/>
          <w:color w:val="000000"/>
          <w:szCs w:val="24"/>
          <w:lang w:eastAsia="es-es"/>
        </w:rPr>
        <w:t xml:space="preserve"> por cada estructura portante respecto de la cual se requiera el permiso de construcción o certificado de habilitación, que </w:t>
      </w:r>
      <w:r>
        <w:rPr>
          <w:rFonts w:ascii="Calibri" w:hAnsi="Calibri" w:cs="Calibri"/>
          <w:bCs/>
          <w:color w:val="000000"/>
          <w:szCs w:val="24"/>
          <w:lang w:eastAsia="es-es"/>
        </w:rPr>
        <w:t>retribuirá los servicios de estudio de factibilidad de localización y otorgamiento de permiso de construcción y/o habilitación, y comprenderá el estudio y análisis de los planos, documentación técnica e informes, las inspecciones iniciales que resulten necesarias y los demás servicios administrativos que deban prestarse para el otorgamiento del permiso de construcción y/o del certificado de habilitación.</w:t>
      </w:r>
    </w:p>
    <w:p>
      <w:pPr>
        <w:ind w:firstLine="709"/>
        <w:spacing/>
        <w:jc w:val="both"/>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Calibri" w:hAnsi="Calibri" w:cs="Calibri"/>
          <w:color w:val="000000"/>
          <w:szCs w:val="24"/>
          <w:lang w:eastAsia="es-es"/>
        </w:rPr>
      </w:pPr>
      <w:r>
        <w:rPr>
          <w:rFonts w:ascii="Calibri" w:hAnsi="Calibri" w:cs="Calibri"/>
          <w:b/>
          <w:color w:val="000000"/>
          <w:szCs w:val="24"/>
          <w:lang w:eastAsia="es-es"/>
        </w:rPr>
      </w:r>
      <w:bookmarkStart w:id="0" w:name="_Hlk175903971"/>
      <w:bookmarkEnd w:id="0"/>
      <w:r>
        <w:rPr>
          <w:rFonts w:ascii="Calibri" w:hAnsi="Calibri" w:cs="Calibri"/>
          <w:b/>
          <w:color w:val="000000"/>
          <w:szCs w:val="24"/>
          <w:lang w:eastAsia="es-es"/>
        </w:rPr>
        <w:t xml:space="preserve">a.2) TASA POR INSPECCIÓN DE ESTRUCTURAS PORTANTES E INFRAESTRUCTURAS RELACIONADAS (TIE): </w:t>
      </w:r>
      <w:r>
        <w:rPr>
          <w:rFonts w:ascii="Calibri" w:hAnsi="Calibri" w:cs="Calibri"/>
          <w:bCs/>
          <w:color w:val="000000"/>
          <w:szCs w:val="24"/>
          <w:lang w:eastAsia="es-es"/>
        </w:rPr>
        <w:t>S</w:t>
      </w:r>
      <w:r>
        <w:rPr>
          <w:rFonts w:ascii="Calibri" w:hAnsi="Calibri" w:cs="Calibri"/>
          <w:color w:val="000000"/>
          <w:szCs w:val="24"/>
          <w:lang w:eastAsia="es-es"/>
        </w:rPr>
        <w:t xml:space="preserve">e abonará anualmente la suma de </w:t>
      </w:r>
      <w:r>
        <w:rPr>
          <w:rFonts w:ascii="Calibri" w:hAnsi="Calibri" w:cs="Calibri"/>
          <w:b/>
          <w:bCs/>
          <w:color w:val="000000"/>
          <w:szCs w:val="24"/>
          <w:lang w:eastAsia="es-es"/>
        </w:rPr>
        <w:t>PESOS UN MILLÓN ($1.000.000)</w:t>
      </w:r>
      <w:r>
        <w:rPr>
          <w:rFonts w:ascii="Calibri" w:hAnsi="Calibri" w:cs="Calibri"/>
          <w:color w:val="000000"/>
          <w:szCs w:val="24"/>
          <w:lang w:eastAsia="es-es"/>
        </w:rPr>
        <w:t xml:space="preserve"> por cada estructura portante, que retribuirá los servicios destinados a preservar y verificar la seguridad y las condiciones de registración y estructurales de cada estructura portante y sus infraestructuras directamente relacionadas. El plazo para el pago vencerá el 28/02/2025, o a los cuarenta y cinco (45) días de la entrada en vigencia de la presente, lo que resulte posterior. </w:t>
      </w:r>
    </w:p>
    <w:p>
      <w:pPr>
        <w:ind w:firstLine="709"/>
        <w:spacing/>
        <w:jc w:val="both"/>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Calibri" w:hAnsi="Calibri" w:cs="Calibri"/>
          <w:color w:val="000000"/>
          <w:szCs w:val="24"/>
          <w:lang w:eastAsia="es-es"/>
        </w:rPr>
      </w:pPr>
      <w:r>
        <w:rPr>
          <w:rFonts w:ascii="Calibri" w:hAnsi="Calibri" w:cs="Calibri"/>
          <w:b/>
          <w:bCs/>
          <w:color w:val="000000"/>
          <w:szCs w:val="24"/>
          <w:lang w:eastAsia="es-es"/>
        </w:rPr>
        <w:t>b) REDUCCIONES Y EXENCIONES:</w:t>
      </w:r>
      <w:r>
        <w:rPr>
          <w:rFonts w:ascii="Calibri" w:hAnsi="Calibri" w:cs="Calibri"/>
          <w:color w:val="000000"/>
          <w:szCs w:val="24"/>
          <w:lang w:eastAsia="es-es"/>
        </w:rPr>
        <w:t xml:space="preserve"> En caso de estructuras portantes denominadas “no convencionales” y/o “wicaps”, el monto de las tasas previstas en este Artículo se reducirá a UN TERCIO (1/3).</w:t>
      </w:r>
    </w:p>
    <w:p>
      <w:pPr>
        <w:ind w:firstLine="709"/>
        <w:spacing/>
        <w:jc w:val="both"/>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Calibri" w:hAnsi="Calibri" w:cs="Calibri"/>
          <w:color w:val="000000"/>
          <w:szCs w:val="24"/>
          <w:lang w:eastAsia="es-es"/>
        </w:rPr>
      </w:pPr>
      <w:r>
        <w:rPr>
          <w:rFonts w:ascii="Calibri" w:hAnsi="Calibri" w:cs="Calibri"/>
          <w:color w:val="000000"/>
          <w:szCs w:val="24"/>
          <w:lang w:eastAsia="es-es"/>
        </w:rPr>
        <w:t>Las estructuras portantes utilizadas exclusivamente para el montaje de antenas correspondientes a servicios semipúblicos de larga distancia, quedaran exentas del pago.</w:t>
      </w:r>
    </w:p>
    <w:p>
      <w:pPr>
        <w:ind w:firstLine="709"/>
        <w:spacing/>
        <w:jc w:val="both"/>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Calibri" w:hAnsi="Calibri" w:cs="Calibri"/>
          <w:color w:val="000000"/>
          <w:szCs w:val="24"/>
          <w:lang w:eastAsia="es-es"/>
        </w:rPr>
      </w:pPr>
      <w:r>
        <w:rPr>
          <w:rFonts w:ascii="Calibri" w:hAnsi="Calibri" w:cs="Calibri"/>
          <w:b/>
          <w:bCs/>
          <w:color w:val="000000"/>
          <w:szCs w:val="24"/>
          <w:lang w:eastAsia="es-es"/>
        </w:rPr>
        <w:t xml:space="preserve">c) RECARGOS: </w:t>
      </w:r>
      <w:r>
        <w:rPr>
          <w:rFonts w:ascii="Calibri" w:hAnsi="Calibri" w:cs="Calibri"/>
          <w:color w:val="000000"/>
          <w:szCs w:val="24"/>
          <w:lang w:eastAsia="es-es"/>
        </w:rPr>
        <w:t>La falta de pago de las tasas previstas en este Artículo devengará automáticamente un recargo mensual que será calculado a la tasa de interés punitorio que establezca el Fisco Nacional (AFIP o el organismo que lo sustituya a futuro), que se calculará desde la fecha de vencimiento establecida en el artículo anterior o desde los treinta (30) días corridos posteriores a la notificación por cualquier medio de la presente normativa y de los demás detalles necesarios para el pago.</w:t>
      </w:r>
    </w:p>
    <w:p>
      <w:pPr>
        <w:ind w:firstLine="709"/>
        <w:spacing/>
        <w:jc w:val="both"/>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Calibri" w:hAnsi="Calibri" w:cs="Calibri"/>
          <w:color w:val="000000"/>
          <w:szCs w:val="24"/>
          <w:lang w:eastAsia="es-es"/>
        </w:rPr>
      </w:pPr>
      <w:r>
        <w:rPr>
          <w:rFonts w:ascii="Calibri" w:hAnsi="Calibri" w:cs="Calibri"/>
          <w:color w:val="000000"/>
          <w:szCs w:val="24"/>
          <w:lang w:eastAsia="es-es"/>
        </w:rPr>
        <w:t>Sin perjuicio de ello, si las tasas no son abonadas voluntariamente a su vencimiento, y debe procederse a emitir y notificar la liquidación administrativa prevista en el inciso e), se generará automáticamente un recargo adicional equivalente al CINCO POR CIENTO (5%) de la suma total que se liquide (considerando el capital más los recargos sobre el mismo), destinado a cubrir las actividades y gastos administrativos adicionales que demande dicha tarea y los gastos de envío de las notificaciones correspondientes.</w:t>
      </w:r>
    </w:p>
    <w:p>
      <w:pPr>
        <w:ind w:firstLine="709"/>
        <w:spacing/>
        <w:jc w:val="both"/>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Calibri" w:hAnsi="Calibri" w:cs="Calibri"/>
          <w:color w:val="000000"/>
          <w:szCs w:val="24"/>
          <w:lang w:eastAsia="es-es"/>
        </w:rPr>
      </w:pPr>
      <w:r>
        <w:rPr>
          <w:rFonts w:ascii="Calibri" w:hAnsi="Calibri" w:cs="Calibri"/>
          <w:b/>
          <w:bCs/>
          <w:color w:val="000000"/>
          <w:szCs w:val="24"/>
          <w:lang w:eastAsia="es-es"/>
        </w:rPr>
        <w:t>d) RESPONSABILIDAD SOLIDARIA:</w:t>
      </w:r>
      <w:r>
        <w:rPr>
          <w:rFonts w:ascii="Calibri" w:hAnsi="Calibri" w:cs="Calibri"/>
          <w:b/>
          <w:color w:val="000000"/>
          <w:szCs w:val="24"/>
          <w:lang w:eastAsia="es-es"/>
        </w:rPr>
        <w:t xml:space="preserve"> </w:t>
      </w:r>
      <w:r>
        <w:rPr>
          <w:rFonts w:ascii="Calibri" w:hAnsi="Calibri" w:cs="Calibri"/>
          <w:color w:val="000000"/>
          <w:szCs w:val="24"/>
          <w:lang w:eastAsia="es-es"/>
        </w:rPr>
        <w:t>Las empresas que posean o exploten antenas montadas o emplazadas en estructuras portantes que sean de propiedad o tenencia de otras empresas o particulares, serán responsables solidaria e ilimitadamente por el pago de las tasas previstas en este artículo y sus correspondientes intereses.</w:t>
      </w:r>
    </w:p>
    <w:p>
      <w:pPr>
        <w:ind w:firstLine="709"/>
        <w:spacing/>
        <w:jc w:val="both"/>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Calibri" w:hAnsi="Calibri" w:cs="Calibri"/>
          <w:color w:val="000000"/>
          <w:szCs w:val="24"/>
          <w:lang w:eastAsia="es-es"/>
        </w:rPr>
      </w:pPr>
      <w:r>
        <w:rPr>
          <w:rFonts w:ascii="Calibri" w:hAnsi="Calibri" w:cs="Calibri"/>
          <w:b/>
          <w:bCs/>
          <w:color w:val="000000"/>
          <w:szCs w:val="24"/>
          <w:lang w:eastAsia="es-es"/>
        </w:rPr>
        <w:t xml:space="preserve">e) DETERMINACIÓN DE DEUDA: </w:t>
      </w:r>
      <w:r>
        <w:rPr>
          <w:rFonts w:ascii="Calibri" w:hAnsi="Calibri" w:cs="Calibri"/>
          <w:color w:val="000000"/>
          <w:szCs w:val="24"/>
          <w:lang w:eastAsia="es-es"/>
        </w:rPr>
        <w:t>Para la determinación de las tasas previstas en este artículo se empleará el sistema de determinación de oficio originaria o liquidación administrativa. Conforme a ello, ante la falta de pago voluntario y espontáneo de las tasas a su vencimiento, se procederá a notificar al contribuyente y/o al responsable solidario la liquidación de la deuda con sus respectivos intereses, concediéndosele un plazo de quince (15) días para efectuar el pago. Contra dicha liquidación sólo podrá interponerse un recurso de reconsideración, que será resuelto sin sustanciación por la máxima autoridad administrativa, luego de lo cual quedará agotada la instancia administrativa.</w:t>
      </w:r>
    </w:p>
    <w:p>
      <w:pPr>
        <w:ind w:firstLine="709"/>
        <w:spacing/>
        <w:jc w:val="both"/>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Calibri" w:hAnsi="Calibri" w:cs="Calibri"/>
          <w:color w:val="000000"/>
          <w:szCs w:val="24"/>
          <w:lang w:eastAsia="es-es"/>
        </w:rPr>
      </w:pPr>
      <w:r>
        <w:rPr>
          <w:rFonts w:ascii="Calibri" w:hAnsi="Calibri" w:cs="Calibri"/>
          <w:b/>
          <w:bCs/>
          <w:color w:val="000000"/>
          <w:szCs w:val="24"/>
          <w:lang w:eastAsia="es-es"/>
        </w:rPr>
        <w:t>f) ALCANCE:</w:t>
      </w:r>
      <w:r>
        <w:rPr>
          <w:rFonts w:ascii="Calibri" w:hAnsi="Calibri" w:cs="Calibri"/>
          <w:color w:val="000000"/>
          <w:szCs w:val="24"/>
          <w:lang w:eastAsia="es-es"/>
        </w:rPr>
        <w:t xml:space="preserve"> Las tasas establecidas en el inciso a) se relacionan exclusivamente con la prestación de los servicios que se especifica para cada una de ellas. Por el contrario, no guarda relación alguna con la eventual actividad realizada por los titulares o explotadores de las estructuras portantes, con la mera ocupación de espacios de dominio público o con otros servicios ajenos a los descriptos en el inciso a), independientemente de la ubicación de este artículo dentro de la estructura de la presente y de lo que pudiera establecerse en otras disposiciones.</w:t>
      </w:r>
    </w:p>
    <w:p>
      <w:pPr>
        <w:ind w:firstLine="709"/>
        <w:spacing/>
        <w:jc w:val="both"/>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Calibri" w:hAnsi="Calibri" w:cs="Calibri"/>
          <w:szCs w:val="24"/>
          <w:lang w:eastAsia="es-es"/>
        </w:rPr>
      </w:pPr>
      <w:r>
        <w:rPr>
          <w:rFonts w:ascii="Calibri" w:hAnsi="Calibri" w:cs="Calibri"/>
          <w:b/>
          <w:bCs/>
          <w:color w:val="000000"/>
          <w:szCs w:val="24"/>
          <w:lang w:eastAsia="es-es"/>
        </w:rPr>
        <w:t xml:space="preserve">g) </w:t>
      </w:r>
      <w:r>
        <w:rPr>
          <w:rFonts w:ascii="Calibri" w:hAnsi="Calibri" w:cs="Calibri"/>
          <w:b/>
          <w:szCs w:val="24"/>
          <w:lang w:eastAsia="es-es"/>
        </w:rPr>
        <w:t xml:space="preserve">INFRACCIONES Y SANCIONES: </w:t>
      </w:r>
      <w:r>
        <w:rPr>
          <w:rFonts w:ascii="Calibri" w:hAnsi="Calibri" w:cs="Calibri"/>
          <w:szCs w:val="24"/>
          <w:lang w:eastAsia="es-es"/>
        </w:rPr>
        <w:t>Sin perjuicio de lo establecido en otras disposiciones,</w:t>
      </w:r>
      <w:r>
        <w:rPr>
          <w:rFonts w:ascii="Calibri" w:hAnsi="Calibri" w:cs="Calibri"/>
          <w:b/>
          <w:szCs w:val="24"/>
          <w:lang w:eastAsia="es-es"/>
        </w:rPr>
        <w:t xml:space="preserve"> </w:t>
      </w:r>
      <w:r>
        <w:rPr>
          <w:rFonts w:ascii="Calibri" w:hAnsi="Calibri" w:cs="Calibri"/>
          <w:szCs w:val="24"/>
          <w:lang w:eastAsia="es-es"/>
        </w:rPr>
        <w:t>constituyen infracciones a las normas establecidas, y serán sancionadas con multas de entre el DIEZ POR CIENTO (10%) y QUINIENTOS POR CIENTO (500%) del monto establecido para la TASA POR INSPECCIÓN DE ESTRUCTURAS PORTANTES E INFRAESTRUCTURAS RELACIONADAS (TIE), las siguientes conductas:</w:t>
      </w:r>
    </w:p>
    <w:p>
      <w:pPr>
        <w:ind w:firstLine="709"/>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Calibri" w:hAnsi="Calibri" w:cs="Calibri"/>
          <w:szCs w:val="24"/>
          <w:lang w:eastAsia="es-es"/>
        </w:rPr>
      </w:pPr>
      <w:r>
        <w:rPr>
          <w:rFonts w:ascii="Calibri" w:hAnsi="Calibri" w:cs="Calibri"/>
          <w:b/>
          <w:szCs w:val="24"/>
          <w:lang w:eastAsia="es-es"/>
        </w:rPr>
        <w:t>g.1)</w:t>
      </w:r>
      <w:r>
        <w:rPr>
          <w:rFonts w:ascii="Calibri" w:hAnsi="Calibri" w:cs="Calibri"/>
          <w:szCs w:val="24"/>
          <w:lang w:eastAsia="es-es"/>
        </w:rPr>
        <w:tab/>
        <w:t>Presentación de información incompleta o disminuida sobre la antena o estructura de soporte a colocar.</w:t>
      </w:r>
    </w:p>
    <w:p>
      <w:pPr>
        <w:ind w:firstLine="709"/>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Calibri" w:hAnsi="Calibri" w:cs="Calibri"/>
          <w:szCs w:val="24"/>
          <w:lang w:eastAsia="es-es"/>
        </w:rPr>
      </w:pPr>
      <w:r>
        <w:rPr>
          <w:rFonts w:ascii="Calibri" w:hAnsi="Calibri" w:cs="Calibri"/>
          <w:b/>
          <w:szCs w:val="24"/>
          <w:lang w:eastAsia="es-es"/>
        </w:rPr>
        <w:t>g.2)</w:t>
      </w:r>
      <w:r>
        <w:rPr>
          <w:rFonts w:ascii="Calibri" w:hAnsi="Calibri" w:cs="Calibri"/>
          <w:szCs w:val="24"/>
          <w:lang w:eastAsia="es-es"/>
        </w:rPr>
        <w:tab/>
        <w:t>Ejecución de la obra (colocación de la antena o estructura de soporte, o realización de modificaciones sobre ella) sin previo permiso y pago del tributo respectivo.</w:t>
      </w:r>
    </w:p>
    <w:p>
      <w:pPr>
        <w:ind w:firstLine="709"/>
        <w:spacing/>
        <w:jc w:val="both"/>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Calibri" w:hAnsi="Calibri" w:cs="Calibri"/>
          <w:szCs w:val="24"/>
          <w:lang w:eastAsia="es-es"/>
        </w:rPr>
      </w:pPr>
      <w:r>
        <w:rPr>
          <w:rFonts w:ascii="Calibri" w:hAnsi="Calibri" w:cs="Calibri"/>
          <w:b/>
          <w:szCs w:val="24"/>
          <w:lang w:eastAsia="es-es"/>
        </w:rPr>
        <w:t xml:space="preserve">g.3) </w:t>
      </w:r>
      <w:r>
        <w:rPr>
          <w:rFonts w:ascii="Calibri" w:hAnsi="Calibri" w:cs="Calibri"/>
          <w:szCs w:val="24"/>
          <w:lang w:eastAsia="es-es"/>
        </w:rPr>
        <w:t>Omisión de informar las estructuras portantes de antenas de su titularidad que se encuentren ubicadas en esta jurisdicción.</w:t>
      </w:r>
    </w:p>
    <w:p>
      <w:pPr>
        <w:ind w:firstLine="709"/>
        <w:spacing/>
        <w:jc w:val="both"/>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Calibri" w:hAnsi="Calibri" w:cs="Calibri"/>
          <w:b/>
          <w:bCs/>
          <w:u w:color="auto" w:val="single"/>
          <w:lang w:eastAsia="es-es"/>
        </w:rPr>
      </w:pPr>
      <w:r>
        <w:rPr>
          <w:rFonts w:ascii="Calibri" w:hAnsi="Calibri" w:cs="Calibri"/>
          <w:b/>
          <w:bCs/>
          <w:color w:val="000000"/>
          <w:szCs w:val="24"/>
          <w:lang w:eastAsia="es-es"/>
        </w:rPr>
        <w:t xml:space="preserve">h) VALOR DE LA NOTIFICACIÓN: </w:t>
      </w:r>
      <w:r>
        <w:rPr>
          <w:rFonts w:ascii="Calibri" w:hAnsi="Calibri" w:cs="Calibri"/>
          <w:bCs/>
          <w:lang w:eastAsia="es-es"/>
        </w:rPr>
        <w:t>A todos los efectos legales, l</w:t>
      </w:r>
      <w:r>
        <w:rPr>
          <w:rFonts w:ascii="Calibri" w:hAnsi="Calibri" w:cs="Calibri"/>
          <w:lang w:eastAsia="es-es"/>
        </w:rPr>
        <w:t>a notificación a los contribuyentes de la parte pertinente de la presente normativa se considerará equivalente a su publicación, tanto si se realiza de manera independiente como si se la adjunta junto a la liquidación administrativa prevista en el inciso 3).</w:t>
      </w:r>
      <w:r>
        <w:rPr>
          <w:rFonts w:ascii="Calibri" w:hAnsi="Calibri" w:cs="Calibri"/>
          <w:b/>
          <w:bCs/>
          <w:u w:color="auto" w:val="single"/>
          <w:lang w:eastAsia="es-es"/>
        </w:rPr>
      </w:r>
    </w:p>
    <w:p>
      <w:pPr>
        <w:ind w:firstLine="709"/>
        <w:spacing w:line="276" w:lineRule="auto"/>
        <w:jc w:val="both"/>
        <w:widowControl w:val="0"/>
        <w:rPr>
          <w:rFonts w:ascii="Calibri" w:hAnsi="Calibri"/>
          <w:color w:val="262626"/>
          <w:szCs w:val="24"/>
        </w:rPr>
      </w:pPr>
      <w:r>
        <w:rPr>
          <w:rFonts w:ascii="Calibri" w:hAnsi="Calibri"/>
          <w:color w:val="262626"/>
          <w:szCs w:val="24"/>
        </w:rPr>
      </w:r>
    </w:p>
    <w:p>
      <w:pPr>
        <w:ind w:firstLine="709"/>
        <w:spacing w:line="276" w:lineRule="auto"/>
        <w:jc w:val="both"/>
        <w:widowControl w:val="0"/>
        <w:rPr>
          <w:rFonts w:ascii="Calibri" w:hAnsi="Calibri"/>
          <w:bCs/>
          <w:color w:val="262626"/>
          <w:szCs w:val="24"/>
        </w:rPr>
      </w:pPr>
      <w:r>
        <w:rPr>
          <w:rFonts w:ascii="Calibri" w:hAnsi="Calibri"/>
          <w:b/>
          <w:bCs/>
          <w:color w:val="262626"/>
          <w:szCs w:val="24"/>
          <w:u w:color="auto" w:val="single"/>
        </w:rPr>
        <w:t>Artículo 2°:</w:t>
      </w:r>
      <w:r>
        <w:rPr>
          <w:rFonts w:ascii="Calibri" w:hAnsi="Calibri"/>
          <w:b/>
          <w:bCs/>
          <w:color w:val="262626"/>
          <w:szCs w:val="24"/>
        </w:rPr>
        <w:t xml:space="preserve"> </w:t>
      </w:r>
      <w:r>
        <w:rPr>
          <w:rFonts w:ascii="Calibri" w:hAnsi="Calibri"/>
          <w:bCs/>
          <w:color w:val="262626"/>
          <w:szCs w:val="24"/>
        </w:rPr>
        <w:t>La presente Ordenanza entrará en vigencia el 1° de enero de 2025, o al día siguiente de su promulgación si la misma es posterior.</w:t>
      </w:r>
    </w:p>
    <w:p>
      <w:pPr>
        <w:ind w:firstLine="709"/>
        <w:spacing w:line="276" w:lineRule="auto"/>
        <w:jc w:val="both"/>
        <w:widowControl w:val="0"/>
        <w:rPr>
          <w:rFonts w:ascii="Calibri" w:hAnsi="Calibri"/>
          <w:b/>
          <w:bCs/>
          <w:color w:val="262626"/>
          <w:szCs w:val="24"/>
        </w:rPr>
      </w:pPr>
      <w:r>
        <w:rPr>
          <w:rFonts w:ascii="Calibri" w:hAnsi="Calibri"/>
          <w:b/>
          <w:bCs/>
          <w:color w:val="262626"/>
          <w:szCs w:val="24"/>
          <w:u w:color="auto" w:val="single"/>
        </w:rPr>
        <w:t>Artículo 3°:</w:t>
      </w:r>
      <w:r>
        <w:rPr>
          <w:rFonts w:ascii="Calibri" w:hAnsi="Calibri"/>
          <w:b/>
          <w:bCs/>
          <w:color w:val="262626"/>
          <w:szCs w:val="24"/>
        </w:rPr>
        <w:t xml:space="preserve"> </w:t>
      </w:r>
      <w:r>
        <w:rPr>
          <w:rFonts w:ascii="Calibri" w:hAnsi="Calibri"/>
          <w:color w:val="262626"/>
          <w:szCs w:val="24"/>
        </w:rPr>
        <w:t>De forma</w:t>
      </w:r>
      <w:r>
        <w:rPr>
          <w:rFonts w:ascii="Calibri" w:hAnsi="Calibri"/>
          <w:b/>
          <w:bCs/>
          <w:color w:val="262626"/>
          <w:szCs w:val="24"/>
        </w:rPr>
      </w:r>
    </w:p>
    <w:sectPr>
      <w:footnotePr>
        <w:pos w:val="pageBottom"/>
        <w:numFmt w:val="decimal"/>
        <w:numStart w:val="1"/>
        <w:numRestart w:val="continuous"/>
      </w:footnotePr>
      <w:endnotePr>
        <w:pos w:val="docEnd"/>
        <w:numFmt w:val="decimal"/>
        <w:numStart w:val="1"/>
        <w:numRestart w:val="continuous"/>
      </w:endnotePr>
      <w:type w:val="nextPage"/>
      <w:pgSz w:h="16841" w:w="11907"/>
      <w:pgMar w:left="1417" w:top="1417" w:right="1417" w:bottom="1417"/>
      <w:paperSrc w:first="0" w:other="0"/>
      <w:pgNumType w:start="1"/>
      <w:tmGutter w:val="3"/>
      <w:mirrorMargins w:val="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Bookman Old Style">
    <w:panose1 w:val="02050604050505020204"/>
    <w:charset w:val="00"/>
    <w:family w:val="roman"/>
    <w:pitch w:val="default"/>
  </w:font>
  <w:font w:name="Calibri Light">
    <w:panose1 w:val="020F030202020403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abla" w:pos="below" w:numFmt="decimal"/>
    <w:caption w:name="Figura" w:pos="below" w:numFmt="decimal"/>
    <w:caption w:name="Imagen" w:pos="below" w:numFmt="decimal"/>
  </w:captions>
  <w:drawingGridHorizontalSpacing w:val="120"/>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shapeDefaults>
    <o:shapedefaults v:ext="edit" spidmax="1026"/>
    <o:shapelayout v:ext="edit">
      <o:rules v:ext="edit"/>
    </o:shapelayout>
  </w:shapeDefaults>
  <w:tmPrefOne w:val="17"/>
  <w:tmPrefTwo w:val="1"/>
  <w:tmFmtPref w:val="55063659"/>
  <w:tmCommentsPr>
    <w:tmCommentsPlace w:val="0"/>
    <w:tmCommentsWidth w:val="3119"/>
    <w:tmCommentsColor w:val="-1"/>
  </w:tmCommentsPr>
  <w:tmReviewPr>
    <w:tmReviewEnabled w:val="0"/>
    <w:tmReviewShow w:val="1"/>
    <w:tmReviewPrint w:val="0"/>
    <w:tmRevisionNum w:val="5"/>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16"/>
      <w:tmLastPosIdx w:val="187"/>
    </w:tmLastPosCaret>
    <w:tmLastPosAnchor>
      <w:tmLastPosPgfIdx w:val="0"/>
      <w:tmLastPosIdx w:val="0"/>
    </w:tmLastPosAnchor>
    <w:tmLastPosTblRect w:left="0" w:top="0" w:right="0" w:bottom="0"/>
  </w:tmLastPos>
  <w:tmAppRevision w:date="1731504299" w:val="737"/>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hAnsi="Bookman Old Style" w:eastAsia="Times New Roman" w:cs="Times New Roman"/>
        <w:sz w:val="24"/>
        <w:szCs w:val="20"/>
        <w:lang w:val="es-a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Normal" w:default="1">
    <w:name w:val="Normal"/>
    <w:qFormat/>
  </w:style>
  <w:style w:type="paragraph" w:styleId="Piedepgina">
    <w:name w:val="Footer"/>
    <w:qFormat/>
    <w:basedOn w:val="Normal"/>
    <w:pPr>
      <w:tabs>
        <w:tab w:val="center" w:pos="4419" w:leader="none"/>
        <w:tab w:val="right" w:pos="8838" w:leader="none"/>
      </w:tabs>
    </w:pPr>
    <w:rPr>
      <w:rFonts w:ascii="Times New Roman" w:hAnsi="Times New Roman"/>
      <w:lang w:val="es-es"/>
    </w:rPr>
  </w:style>
  <w:style w:type="paragraph" w:styleId="Encabezado">
    <w:name w:val="Header"/>
    <w:qFormat/>
    <w:basedOn w:val="Normal"/>
    <w:pPr>
      <w:tabs>
        <w:tab w:val="center" w:pos="4419" w:leader="none"/>
        <w:tab w:val="right" w:pos="8838" w:leader="none"/>
      </w:tabs>
    </w:pPr>
    <w:rPr>
      <w:lang w:val="es-es"/>
    </w:rPr>
  </w:style>
  <w:style w:type="character" w:styleId="Fuentedeprrafopredeter." w:default="1">
    <w:name w:val="Default Paragraph Font"/>
    <w:rPr>
      <w:rFonts w:ascii="Calibri" w:hAnsi="Calibri" w:eastAsia="Calibri"/>
      <w:sz w:val="20"/>
      <w:lang w:val="es-es"/>
    </w:rPr>
  </w:style>
  <w:style w:type="character" w:styleId="Nmerodepgina">
    <w:name w:val="Page Number"/>
    <w:basedOn w:val="Fuentedeprrafopredeter."/>
  </w:style>
  <w:style w:type="character" w:styleId="PiedepginaCar" w:customStyle="1">
    <w:name w:val="Pie de página Car"/>
    <w:rPr>
      <w:rFonts w:ascii="Times New Roman" w:hAnsi="Times New Roman"/>
      <w:lang w:val="es-es"/>
    </w:rPr>
  </w:style>
  <w:style w:type="character" w:styleId="EncabezadoCar" w:customStyle="1">
    <w:name w:val="Encabezado Car"/>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hAnsi="Bookman Old Style" w:eastAsia="Times New Roman" w:cs="Times New Roman"/>
        <w:sz w:val="24"/>
        <w:szCs w:val="20"/>
        <w:lang w:val="es-a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Normal" w:default="1">
    <w:name w:val="Normal"/>
    <w:qFormat/>
  </w:style>
  <w:style w:type="paragraph" w:styleId="Piedepgina">
    <w:name w:val="Footer"/>
    <w:qFormat/>
    <w:basedOn w:val="Normal"/>
    <w:pPr>
      <w:tabs>
        <w:tab w:val="center" w:pos="4419" w:leader="none"/>
        <w:tab w:val="right" w:pos="8838" w:leader="none"/>
      </w:tabs>
    </w:pPr>
    <w:rPr>
      <w:rFonts w:ascii="Times New Roman" w:hAnsi="Times New Roman"/>
      <w:lang w:val="es-es"/>
    </w:rPr>
  </w:style>
  <w:style w:type="paragraph" w:styleId="Encabezado">
    <w:name w:val="Header"/>
    <w:qFormat/>
    <w:basedOn w:val="Normal"/>
    <w:pPr>
      <w:tabs>
        <w:tab w:val="center" w:pos="4419" w:leader="none"/>
        <w:tab w:val="right" w:pos="8838" w:leader="none"/>
      </w:tabs>
    </w:pPr>
    <w:rPr>
      <w:lang w:val="es-es"/>
    </w:rPr>
  </w:style>
  <w:style w:type="character" w:styleId="Fuentedeprrafopredeter." w:default="1">
    <w:name w:val="Default Paragraph Font"/>
    <w:rPr>
      <w:rFonts w:ascii="Calibri" w:hAnsi="Calibri" w:eastAsia="Calibri"/>
      <w:sz w:val="20"/>
      <w:lang w:val="es-es"/>
    </w:rPr>
  </w:style>
  <w:style w:type="character" w:styleId="Nmerodepgina">
    <w:name w:val="Page Number"/>
    <w:basedOn w:val="Fuentedeprrafopredeter."/>
  </w:style>
  <w:style w:type="character" w:styleId="PiedepginaCar" w:customStyle="1">
    <w:name w:val="Pie de página Car"/>
    <w:rPr>
      <w:rFonts w:ascii="Times New Roman" w:hAnsi="Times New Roman"/>
      <w:lang w:val="es-es"/>
    </w:rPr>
  </w:style>
  <w:style w:type="character" w:styleId="EncabezadoCar" w:customStyle="1">
    <w:name w:val="Encabezado Ca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Bookman Old Style"/>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2016 rev.737</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Eduardo Langer</dc:creator>
  <cp:keywords/>
  <dc:description/>
  <cp:lastModifiedBy/>
  <cp:revision>5</cp:revision>
  <cp:lastPrinted>2024-11-13T10:25:03Z</cp:lastPrinted>
  <dcterms:created xsi:type="dcterms:W3CDTF">2023-11-13T14:38:00Z</dcterms:created>
  <dcterms:modified xsi:type="dcterms:W3CDTF">2024-11-13T10:24:59Z</dcterms:modified>
</cp:coreProperties>
</file>